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7C253" w14:textId="78DFBBE3" w:rsidR="001E10F3" w:rsidRPr="00794F8E" w:rsidRDefault="001E10F3" w:rsidP="001E10F3">
      <w:pPr>
        <w:pStyle w:val="3GPPHeader"/>
        <w:rPr>
          <w:rFonts w:eastAsiaTheme="minorEastAsia"/>
          <w:lang w:eastAsia="zh-TW"/>
        </w:rPr>
      </w:pPr>
      <w:r w:rsidRPr="00794F8E">
        <w:rPr>
          <w:rFonts w:eastAsiaTheme="minorEastAsia" w:hint="eastAsia"/>
          <w:lang w:eastAsia="zh-TW"/>
        </w:rPr>
        <w:t>3</w:t>
      </w:r>
      <w:r w:rsidRPr="00794F8E">
        <w:rPr>
          <w:rFonts w:eastAsiaTheme="minorEastAsia"/>
          <w:lang w:eastAsia="zh-TW"/>
        </w:rPr>
        <w:t>GPP TSG-RAN WG1 Meeting #96</w:t>
      </w:r>
      <w:r w:rsidRPr="00794F8E">
        <w:rPr>
          <w:rFonts w:eastAsiaTheme="minorEastAsia"/>
          <w:lang w:eastAsia="zh-TW"/>
        </w:rPr>
        <w:tab/>
      </w:r>
      <w:r w:rsidR="005F723E" w:rsidRPr="005F723E">
        <w:rPr>
          <w:rFonts w:eastAsiaTheme="minorEastAsia"/>
          <w:lang w:eastAsia="zh-TW"/>
        </w:rPr>
        <w:t>R1-1902414</w:t>
      </w:r>
      <w:bookmarkStart w:id="0" w:name="_GoBack"/>
      <w:bookmarkEnd w:id="0"/>
    </w:p>
    <w:p w14:paraId="14B6ACD7" w14:textId="77777777" w:rsidR="001E10F3" w:rsidRPr="00794F8E" w:rsidRDefault="001E10F3" w:rsidP="001E10F3">
      <w:pPr>
        <w:pStyle w:val="3GPPHeader"/>
        <w:rPr>
          <w:rFonts w:eastAsiaTheme="minorEastAsia"/>
          <w:lang w:eastAsia="zh-TW"/>
        </w:rPr>
      </w:pPr>
      <w:r w:rsidRPr="00794F8E">
        <w:rPr>
          <w:rFonts w:eastAsiaTheme="minorEastAsia"/>
          <w:lang w:eastAsia="zh-TW"/>
        </w:rPr>
        <w:t>Athens, Greece, 25</w:t>
      </w:r>
      <w:r w:rsidRPr="00794F8E">
        <w:rPr>
          <w:rFonts w:eastAsiaTheme="minorEastAsia"/>
          <w:vertAlign w:val="superscript"/>
          <w:lang w:eastAsia="zh-TW"/>
        </w:rPr>
        <w:t>th</w:t>
      </w:r>
      <w:r w:rsidRPr="00794F8E">
        <w:rPr>
          <w:rFonts w:eastAsiaTheme="minorEastAsia"/>
          <w:lang w:eastAsia="zh-TW"/>
        </w:rPr>
        <w:t xml:space="preserve"> February- 1</w:t>
      </w:r>
      <w:r w:rsidRPr="00794F8E">
        <w:rPr>
          <w:rFonts w:eastAsiaTheme="minorEastAsia"/>
          <w:vertAlign w:val="superscript"/>
          <w:lang w:eastAsia="zh-TW"/>
        </w:rPr>
        <w:t>st</w:t>
      </w:r>
      <w:r w:rsidRPr="00794F8E">
        <w:rPr>
          <w:rFonts w:eastAsiaTheme="minorEastAsia"/>
          <w:lang w:eastAsia="zh-TW"/>
        </w:rPr>
        <w:t xml:space="preserve"> March 2019</w:t>
      </w:r>
    </w:p>
    <w:p w14:paraId="3F1180E8" w14:textId="77777777" w:rsidR="001E10F3" w:rsidRPr="00794F8E" w:rsidRDefault="001E10F3" w:rsidP="001E10F3">
      <w:pPr>
        <w:pStyle w:val="3GPPHeader"/>
        <w:rPr>
          <w:rFonts w:eastAsiaTheme="minorEastAsia"/>
          <w:lang w:eastAsia="zh-TW"/>
        </w:rPr>
      </w:pPr>
    </w:p>
    <w:p w14:paraId="1D8B2517" w14:textId="77777777" w:rsidR="001E10F3" w:rsidRPr="00794F8E" w:rsidRDefault="001E10F3" w:rsidP="001E10F3">
      <w:pPr>
        <w:pStyle w:val="3GPPHeader"/>
        <w:rPr>
          <w:rFonts w:eastAsiaTheme="minorEastAsia"/>
          <w:lang w:eastAsia="zh-TW"/>
        </w:rPr>
      </w:pPr>
      <w:r w:rsidRPr="00794F8E">
        <w:rPr>
          <w:rFonts w:eastAsiaTheme="minorEastAsia" w:hint="eastAsia"/>
          <w:lang w:eastAsia="zh-TW"/>
        </w:rPr>
        <w:t>S</w:t>
      </w:r>
      <w:r w:rsidRPr="00794F8E">
        <w:rPr>
          <w:rFonts w:eastAsiaTheme="minorEastAsia"/>
          <w:lang w:eastAsia="zh-TW"/>
        </w:rPr>
        <w:t>ource:</w:t>
      </w:r>
      <w:r w:rsidRPr="00794F8E">
        <w:rPr>
          <w:rFonts w:eastAsiaTheme="minorEastAsia"/>
          <w:lang w:eastAsia="zh-TW"/>
        </w:rPr>
        <w:tab/>
        <w:t>Asia Pacific Telecom</w:t>
      </w:r>
    </w:p>
    <w:p w14:paraId="7E1AB0E7" w14:textId="77777777" w:rsidR="001E10F3" w:rsidRPr="00794F8E" w:rsidRDefault="001E10F3" w:rsidP="001E10F3">
      <w:pPr>
        <w:pStyle w:val="3GPPHeader"/>
        <w:rPr>
          <w:rFonts w:eastAsiaTheme="minorEastAsia"/>
          <w:lang w:eastAsia="zh-TW"/>
        </w:rPr>
      </w:pPr>
      <w:r w:rsidRPr="00794F8E">
        <w:rPr>
          <w:rFonts w:eastAsiaTheme="minorEastAsia" w:hint="eastAsia"/>
          <w:lang w:eastAsia="zh-TW"/>
        </w:rPr>
        <w:t>T</w:t>
      </w:r>
      <w:r w:rsidRPr="00794F8E">
        <w:rPr>
          <w:rFonts w:eastAsiaTheme="minorEastAsia"/>
          <w:lang w:eastAsia="zh-TW"/>
        </w:rPr>
        <w:t>itle:</w:t>
      </w:r>
      <w:r w:rsidRPr="00794F8E">
        <w:rPr>
          <w:rFonts w:eastAsiaTheme="minorEastAsia"/>
          <w:lang w:eastAsia="zh-TW"/>
        </w:rPr>
        <w:tab/>
        <w:t>PDCCH enhancements for NR URLLC</w:t>
      </w:r>
    </w:p>
    <w:p w14:paraId="61018E0B" w14:textId="77777777" w:rsidR="001E10F3" w:rsidRPr="00794F8E" w:rsidRDefault="001E10F3" w:rsidP="001E10F3">
      <w:pPr>
        <w:pStyle w:val="3GPPHeader"/>
        <w:rPr>
          <w:rFonts w:eastAsiaTheme="minorEastAsia"/>
          <w:lang w:eastAsia="zh-TW"/>
        </w:rPr>
      </w:pPr>
      <w:r w:rsidRPr="00794F8E">
        <w:rPr>
          <w:rFonts w:eastAsiaTheme="minorEastAsia"/>
          <w:lang w:eastAsia="zh-TW"/>
        </w:rPr>
        <w:t>Agenda item:</w:t>
      </w:r>
      <w:r w:rsidRPr="00794F8E">
        <w:rPr>
          <w:rFonts w:eastAsiaTheme="minorEastAsia"/>
          <w:lang w:eastAsia="zh-TW"/>
        </w:rPr>
        <w:tab/>
        <w:t>7.2.6.1.1</w:t>
      </w:r>
    </w:p>
    <w:p w14:paraId="13B32D37" w14:textId="77777777" w:rsidR="001E10F3" w:rsidRPr="00794F8E" w:rsidRDefault="001E10F3" w:rsidP="001E10F3">
      <w:pPr>
        <w:pStyle w:val="3GPPHeader"/>
        <w:rPr>
          <w:rFonts w:eastAsiaTheme="minorEastAsia"/>
          <w:lang w:eastAsia="zh-TW"/>
        </w:rPr>
      </w:pPr>
      <w:r w:rsidRPr="00794F8E">
        <w:rPr>
          <w:rFonts w:eastAsiaTheme="minorEastAsia" w:hint="eastAsia"/>
          <w:lang w:eastAsia="zh-TW"/>
        </w:rPr>
        <w:t>D</w:t>
      </w:r>
      <w:r w:rsidRPr="00794F8E">
        <w:rPr>
          <w:rFonts w:eastAsiaTheme="minorEastAsia"/>
          <w:lang w:eastAsia="zh-TW"/>
        </w:rPr>
        <w:t xml:space="preserve">ocument for: </w:t>
      </w:r>
      <w:r w:rsidRPr="00794F8E">
        <w:rPr>
          <w:rFonts w:eastAsiaTheme="minorEastAsia"/>
          <w:lang w:eastAsia="zh-TW"/>
        </w:rPr>
        <w:tab/>
        <w:t>Discussion and Decision</w:t>
      </w:r>
    </w:p>
    <w:p w14:paraId="5BDA5C10" w14:textId="77777777" w:rsidR="001E10F3" w:rsidRDefault="001E10F3" w:rsidP="001E10F3">
      <w:pPr>
        <w:pStyle w:val="Heading1"/>
        <w:numPr>
          <w:ilvl w:val="0"/>
          <w:numId w:val="4"/>
        </w:numPr>
        <w:rPr>
          <w:rFonts w:eastAsiaTheme="minorEastAsia"/>
          <w:lang w:eastAsia="zh-TW"/>
        </w:rPr>
      </w:pPr>
      <w:r>
        <w:rPr>
          <w:rFonts w:eastAsiaTheme="minorEastAsia" w:hint="eastAsia"/>
          <w:lang w:eastAsia="zh-TW"/>
        </w:rPr>
        <w:t>I</w:t>
      </w:r>
      <w:r>
        <w:rPr>
          <w:rFonts w:eastAsiaTheme="minorEastAsia"/>
          <w:lang w:eastAsia="zh-TW"/>
        </w:rPr>
        <w:t>ntroduction</w:t>
      </w:r>
    </w:p>
    <w:p w14:paraId="630ABDC8" w14:textId="77777777" w:rsidR="001E10F3" w:rsidRPr="00AF1AF3" w:rsidRDefault="001E10F3">
      <w:pPr>
        <w:rPr>
          <w:sz w:val="22"/>
          <w:lang w:eastAsia="zh-TW"/>
        </w:rPr>
      </w:pPr>
      <w:r w:rsidRPr="00AF1AF3">
        <w:rPr>
          <w:sz w:val="22"/>
          <w:lang w:eastAsia="zh-TW"/>
        </w:rPr>
        <w:t>In RAN1 AH1901 meeting, the following aspects related to the limit of the number of BDs/CCEs</w:t>
      </w:r>
      <w:r w:rsidRPr="00AF1AF3">
        <w:rPr>
          <w:sz w:val="22"/>
          <w:lang w:val="en-US" w:eastAsia="zh-TW"/>
        </w:rPr>
        <w:t xml:space="preserve"> were discussed without consensus, and</w:t>
      </w:r>
      <w:r w:rsidRPr="00AF1AF3">
        <w:rPr>
          <w:sz w:val="22"/>
          <w:lang w:eastAsia="zh-TW"/>
        </w:rPr>
        <w:t xml:space="preserve"> were concluded to be further studied:</w:t>
      </w:r>
    </w:p>
    <w:p w14:paraId="2E1F980B" w14:textId="77777777" w:rsidR="001E10F3" w:rsidRPr="00AF1AF3" w:rsidRDefault="001E10F3">
      <w:pPr>
        <w:pStyle w:val="ListParagraph"/>
        <w:widowControl w:val="0"/>
        <w:numPr>
          <w:ilvl w:val="0"/>
          <w:numId w:val="41"/>
        </w:numPr>
        <w:autoSpaceDN w:val="0"/>
        <w:spacing w:after="0"/>
        <w:jc w:val="both"/>
        <w:rPr>
          <w:kern w:val="2"/>
          <w:sz w:val="22"/>
          <w:szCs w:val="20"/>
          <w:lang w:eastAsia="zh-CN"/>
        </w:rPr>
      </w:pPr>
      <w:r w:rsidRPr="00AF1AF3">
        <w:rPr>
          <w:kern w:val="2"/>
          <w:sz w:val="22"/>
          <w:szCs w:val="20"/>
          <w:lang w:eastAsia="zh-CN"/>
        </w:rPr>
        <w:t>What is the maximum number of PDCCH monitoring occasions needed for URLLC per slot?</w:t>
      </w:r>
    </w:p>
    <w:p w14:paraId="0D18B78A" w14:textId="77777777" w:rsidR="001E10F3" w:rsidRPr="00AF1AF3" w:rsidRDefault="001E10F3">
      <w:pPr>
        <w:pStyle w:val="ListParagraph"/>
        <w:widowControl w:val="0"/>
        <w:numPr>
          <w:ilvl w:val="0"/>
          <w:numId w:val="41"/>
        </w:numPr>
        <w:autoSpaceDN w:val="0"/>
        <w:spacing w:after="0"/>
        <w:jc w:val="both"/>
        <w:rPr>
          <w:kern w:val="2"/>
          <w:sz w:val="22"/>
          <w:szCs w:val="20"/>
          <w:lang w:eastAsia="zh-CN"/>
        </w:rPr>
      </w:pPr>
      <w:r w:rsidRPr="00AF1AF3">
        <w:rPr>
          <w:kern w:val="2"/>
          <w:sz w:val="22"/>
          <w:szCs w:val="20"/>
          <w:lang w:eastAsia="zh-CN"/>
        </w:rPr>
        <w:t xml:space="preserve">Whether only the limit of the number of CCEs needs to be enhanced, or both the limit of the number of CCEs and BDs need to be enhanced?   </w:t>
      </w:r>
    </w:p>
    <w:p w14:paraId="0845DEEF" w14:textId="77777777" w:rsidR="001E10F3" w:rsidRPr="00AF1AF3" w:rsidRDefault="001E10F3">
      <w:pPr>
        <w:pStyle w:val="ListParagraph"/>
        <w:widowControl w:val="0"/>
        <w:numPr>
          <w:ilvl w:val="0"/>
          <w:numId w:val="41"/>
        </w:numPr>
        <w:autoSpaceDN w:val="0"/>
        <w:spacing w:after="0"/>
        <w:jc w:val="both"/>
        <w:rPr>
          <w:kern w:val="2"/>
          <w:sz w:val="22"/>
          <w:szCs w:val="20"/>
          <w:lang w:eastAsia="zh-CN"/>
        </w:rPr>
      </w:pPr>
      <w:r w:rsidRPr="00AF1AF3">
        <w:rPr>
          <w:kern w:val="2"/>
          <w:sz w:val="22"/>
          <w:szCs w:val="20"/>
          <w:lang w:eastAsia="zh-CN"/>
        </w:rPr>
        <w:t xml:space="preserve">Whether and what condition needed for supporting increasing the limit of the number of CCEs/BDs? </w:t>
      </w:r>
    </w:p>
    <w:p w14:paraId="7B863A55" w14:textId="77777777" w:rsidR="001E10F3" w:rsidRPr="00AF1AF3" w:rsidRDefault="001E10F3">
      <w:pPr>
        <w:pStyle w:val="ListParagraph"/>
        <w:widowControl w:val="0"/>
        <w:numPr>
          <w:ilvl w:val="1"/>
          <w:numId w:val="41"/>
        </w:numPr>
        <w:autoSpaceDN w:val="0"/>
        <w:spacing w:after="0"/>
        <w:jc w:val="both"/>
        <w:rPr>
          <w:kern w:val="2"/>
          <w:sz w:val="22"/>
          <w:szCs w:val="20"/>
          <w:lang w:eastAsia="zh-CN"/>
        </w:rPr>
      </w:pPr>
      <w:r w:rsidRPr="00AF1AF3">
        <w:rPr>
          <w:kern w:val="2"/>
          <w:sz w:val="22"/>
          <w:szCs w:val="20"/>
          <w:lang w:eastAsia="zh-CN"/>
        </w:rPr>
        <w:t>Note: this may or may not have spec impact</w:t>
      </w:r>
    </w:p>
    <w:p w14:paraId="6778C1F7" w14:textId="77777777" w:rsidR="001E10F3" w:rsidRPr="00AF1AF3" w:rsidRDefault="001E10F3">
      <w:pPr>
        <w:pStyle w:val="ListParagraph"/>
        <w:widowControl w:val="0"/>
        <w:numPr>
          <w:ilvl w:val="0"/>
          <w:numId w:val="41"/>
        </w:numPr>
        <w:autoSpaceDN w:val="0"/>
        <w:spacing w:after="0"/>
        <w:jc w:val="both"/>
        <w:rPr>
          <w:kern w:val="2"/>
          <w:sz w:val="22"/>
          <w:szCs w:val="20"/>
          <w:lang w:eastAsia="zh-CN"/>
        </w:rPr>
      </w:pPr>
      <w:r w:rsidRPr="00AF1AF3">
        <w:rPr>
          <w:kern w:val="2"/>
          <w:sz w:val="22"/>
          <w:szCs w:val="20"/>
          <w:lang w:eastAsia="zh-CN"/>
        </w:rPr>
        <w:t>Whether and how to define the UE capability for the enhanced PDCCH monitoring capability?</w:t>
      </w:r>
    </w:p>
    <w:p w14:paraId="1EB620EF" w14:textId="77777777" w:rsidR="001E10F3" w:rsidRPr="00AF1AF3" w:rsidRDefault="001E10F3" w:rsidP="00AF1AF3">
      <w:pPr>
        <w:pStyle w:val="ListParagraph"/>
        <w:widowControl w:val="0"/>
        <w:numPr>
          <w:ilvl w:val="0"/>
          <w:numId w:val="41"/>
        </w:numPr>
        <w:autoSpaceDN w:val="0"/>
        <w:jc w:val="both"/>
        <w:rPr>
          <w:kern w:val="2"/>
          <w:sz w:val="22"/>
          <w:szCs w:val="20"/>
          <w:lang w:eastAsia="zh-CN"/>
        </w:rPr>
      </w:pPr>
      <w:r w:rsidRPr="00AF1AF3">
        <w:rPr>
          <w:kern w:val="2"/>
          <w:sz w:val="22"/>
          <w:szCs w:val="20"/>
          <w:lang w:eastAsia="zh-CN"/>
        </w:rPr>
        <w:t>Impact of SCS?</w:t>
      </w:r>
    </w:p>
    <w:p w14:paraId="4C1A427F" w14:textId="77777777" w:rsidR="001E10F3" w:rsidRPr="00AF1AF3" w:rsidRDefault="001E10F3" w:rsidP="001E10F3">
      <w:pPr>
        <w:rPr>
          <w:sz w:val="22"/>
          <w:lang w:eastAsia="zh-TW"/>
        </w:rPr>
      </w:pPr>
      <w:r w:rsidRPr="00AF1AF3">
        <w:rPr>
          <w:sz w:val="22"/>
          <w:lang w:eastAsia="zh-TW"/>
        </w:rPr>
        <w:t>In this contribution, we provide our views on PDCCH monitoring enhancements for URLLC.</w:t>
      </w:r>
    </w:p>
    <w:p w14:paraId="2675DB87" w14:textId="77777777" w:rsidR="001E10F3" w:rsidRDefault="001E10F3" w:rsidP="001E10F3">
      <w:pPr>
        <w:pStyle w:val="Heading1"/>
        <w:numPr>
          <w:ilvl w:val="0"/>
          <w:numId w:val="4"/>
        </w:numPr>
        <w:rPr>
          <w:rFonts w:eastAsiaTheme="minorEastAsia"/>
          <w:lang w:eastAsia="zh-TW"/>
        </w:rPr>
      </w:pPr>
      <w:r>
        <w:rPr>
          <w:lang w:eastAsia="zh-TW"/>
        </w:rPr>
        <w:t>Discussion</w:t>
      </w:r>
    </w:p>
    <w:p w14:paraId="12739845" w14:textId="77777777" w:rsidR="001E10F3" w:rsidRDefault="001E10F3" w:rsidP="001E10F3">
      <w:pPr>
        <w:pStyle w:val="Heading2"/>
        <w:numPr>
          <w:ilvl w:val="1"/>
          <w:numId w:val="4"/>
        </w:numPr>
        <w:rPr>
          <w:lang w:eastAsia="zh-TW"/>
        </w:rPr>
      </w:pPr>
      <w:r>
        <w:rPr>
          <w:lang w:eastAsia="zh-TW"/>
        </w:rPr>
        <w:t>Enhance the limit of the number of CCEs/BDs</w:t>
      </w:r>
    </w:p>
    <w:p w14:paraId="77A55AD1" w14:textId="3C0B8A25" w:rsidR="001E10F3" w:rsidRPr="00AF1AF3" w:rsidRDefault="001E10F3" w:rsidP="00AF1AF3">
      <w:pPr>
        <w:rPr>
          <w:sz w:val="22"/>
          <w:lang w:eastAsia="zh-TW"/>
        </w:rPr>
      </w:pPr>
      <w:r w:rsidRPr="00AF1AF3">
        <w:rPr>
          <w:sz w:val="22"/>
          <w:lang w:eastAsia="zh-TW"/>
        </w:rPr>
        <w:t xml:space="preserve">In Rel-15, the maximum number of monitored PDCCH candidates and non-overlapped CCEs per slot for Case 2 (which can provide more flexibility to schedule non-slot-based transmission) are the same as for Case 1-1 (which is basically for scheduling slot-based transmission). However, to </w:t>
      </w:r>
      <w:r w:rsidR="00AF1AF3">
        <w:rPr>
          <w:sz w:val="22"/>
          <w:lang w:eastAsia="zh-TW"/>
        </w:rPr>
        <w:t>ensure a</w:t>
      </w:r>
      <w:r w:rsidRPr="00AF1AF3">
        <w:rPr>
          <w:sz w:val="22"/>
          <w:lang w:eastAsia="zh-TW"/>
        </w:rPr>
        <w:t xml:space="preserve"> more stringent latency requirement and guarantee the high reliability of PDCCH reception for URLLC, it is necessary to configure multiple monitoring occasions within a slot for 15kHz and 30kHz. Taking alignment delay and processing time into account, the required time for completing the first transmission or transmission with one HARQ retransmission within 1ms is hard to achieve for 15kHz and 30kHz unless configuring more frequent PDCCH monitoring occasion within a slot, e.g. 2-symbol PDCCH monitoring occasion. Based on the discussion in RAN1 AH#1901, the potential number of PDCCH monitoring occasions needed for URLLC per slot can be 3 or 7. To ensure lower latency, the preferable maximum number of PDCCH monitoring occasions needed for URLLC per slot is 7 for 15kHz and 30 kHz SCS. </w:t>
      </w:r>
    </w:p>
    <w:p w14:paraId="1D99F645" w14:textId="51E26EBF" w:rsidR="001E10F3" w:rsidRPr="00AF1AF3" w:rsidRDefault="001E10F3" w:rsidP="00AF1AF3">
      <w:pPr>
        <w:pStyle w:val="Proposal"/>
        <w:numPr>
          <w:ilvl w:val="0"/>
          <w:numId w:val="2"/>
        </w:numPr>
        <w:tabs>
          <w:tab w:val="clear" w:pos="1304"/>
        </w:tabs>
        <w:ind w:left="1710" w:hanging="1710"/>
        <w:rPr>
          <w:rFonts w:eastAsiaTheme="minorEastAsia"/>
          <w:sz w:val="22"/>
          <w:lang w:eastAsia="zh-TW"/>
        </w:rPr>
      </w:pPr>
      <w:bookmarkStart w:id="1" w:name="_Toc1054044"/>
      <w:r w:rsidRPr="00AF1AF3">
        <w:rPr>
          <w:rFonts w:eastAsiaTheme="minorEastAsia"/>
          <w:sz w:val="22"/>
          <w:lang w:eastAsia="zh-TW"/>
        </w:rPr>
        <w:t>The maximum number of PDCCH monitoring occasions needed for URLLC per slot is 7 for 15kHz and 30kHz SCS.</w:t>
      </w:r>
      <w:bookmarkEnd w:id="1"/>
    </w:p>
    <w:p w14:paraId="36896FBC" w14:textId="217AD079" w:rsidR="001E10F3" w:rsidRPr="00AF1AF3" w:rsidRDefault="001E10F3" w:rsidP="00AF1AF3">
      <w:pPr>
        <w:rPr>
          <w:sz w:val="22"/>
          <w:lang w:eastAsia="zh-TW"/>
        </w:rPr>
      </w:pPr>
      <w:r w:rsidRPr="00AF1AF3">
        <w:rPr>
          <w:sz w:val="22"/>
          <w:lang w:eastAsia="zh-TW"/>
        </w:rPr>
        <w:t xml:space="preserve">To support more frequent monitoring occasions within a slot </w:t>
      </w:r>
      <w:r w:rsidRPr="00AF1AF3">
        <w:rPr>
          <w:sz w:val="22"/>
          <w:lang w:val="en-US" w:eastAsia="zh-TW"/>
        </w:rPr>
        <w:t>while</w:t>
      </w:r>
      <w:r w:rsidRPr="00AF1AF3">
        <w:rPr>
          <w:sz w:val="22"/>
          <w:lang w:eastAsia="zh-TW"/>
        </w:rPr>
        <w:t xml:space="preserve"> providing reliable enough PDCCH reception, the maximum number of CCEs per slot should be revisited. Furthermore, with additional DCI formats of different sizes for URLLC application in mind, </w:t>
      </w:r>
      <w:r w:rsidR="00AF1AF3" w:rsidRPr="00F35FE7">
        <w:rPr>
          <w:sz w:val="22"/>
          <w:lang w:eastAsia="zh-TW"/>
        </w:rPr>
        <w:t>increased number of BDs</w:t>
      </w:r>
      <w:r w:rsidR="00AF1AF3" w:rsidRPr="00AF1AF3">
        <w:rPr>
          <w:sz w:val="22"/>
          <w:lang w:eastAsia="zh-TW"/>
        </w:rPr>
        <w:t xml:space="preserve"> </w:t>
      </w:r>
      <w:r w:rsidR="00AF1AF3">
        <w:rPr>
          <w:sz w:val="22"/>
          <w:lang w:eastAsia="zh-TW"/>
        </w:rPr>
        <w:t xml:space="preserve">should </w:t>
      </w:r>
      <w:r w:rsidR="00AF1AF3" w:rsidRPr="00F35FE7">
        <w:rPr>
          <w:sz w:val="22"/>
          <w:lang w:eastAsia="zh-TW"/>
        </w:rPr>
        <w:t>be required</w:t>
      </w:r>
      <w:r w:rsidR="00AF1AF3" w:rsidRPr="00AF1AF3">
        <w:rPr>
          <w:sz w:val="22"/>
          <w:lang w:eastAsia="zh-TW"/>
        </w:rPr>
        <w:t xml:space="preserve"> </w:t>
      </w:r>
      <w:r w:rsidR="00AF1AF3">
        <w:rPr>
          <w:sz w:val="22"/>
          <w:lang w:eastAsia="zh-TW"/>
        </w:rPr>
        <w:t xml:space="preserve">for </w:t>
      </w:r>
      <w:r w:rsidRPr="00AF1AF3">
        <w:rPr>
          <w:sz w:val="22"/>
          <w:lang w:eastAsia="zh-TW"/>
        </w:rPr>
        <w:t>a UE</w:t>
      </w:r>
      <w:r w:rsidR="00AF1AF3">
        <w:rPr>
          <w:sz w:val="22"/>
          <w:lang w:eastAsia="zh-TW"/>
        </w:rPr>
        <w:t xml:space="preserve"> that</w:t>
      </w:r>
      <w:r w:rsidRPr="00AF1AF3">
        <w:rPr>
          <w:sz w:val="22"/>
          <w:lang w:eastAsia="zh-TW"/>
        </w:rPr>
        <w:t xml:space="preserve"> supports eMBB and URLLC services simultaneously.  </w:t>
      </w:r>
    </w:p>
    <w:p w14:paraId="519061C0" w14:textId="0A066A6A" w:rsidR="001E10F3" w:rsidRPr="00AF1AF3" w:rsidRDefault="001E10F3" w:rsidP="00AF1AF3">
      <w:pPr>
        <w:pStyle w:val="Proposal"/>
        <w:numPr>
          <w:ilvl w:val="0"/>
          <w:numId w:val="2"/>
        </w:numPr>
        <w:tabs>
          <w:tab w:val="clear" w:pos="1304"/>
        </w:tabs>
        <w:ind w:left="1710" w:hanging="1710"/>
        <w:rPr>
          <w:rFonts w:eastAsiaTheme="minorEastAsia"/>
          <w:sz w:val="22"/>
          <w:lang w:eastAsia="zh-TW"/>
        </w:rPr>
      </w:pPr>
      <w:bookmarkStart w:id="2" w:name="_Toc1054045"/>
      <w:bookmarkStart w:id="3" w:name="_Hlk861241"/>
      <w:r w:rsidRPr="00AF1AF3">
        <w:rPr>
          <w:rFonts w:eastAsiaTheme="minorEastAsia"/>
          <w:sz w:val="22"/>
          <w:lang w:eastAsia="zh-TW"/>
        </w:rPr>
        <w:t>The limit of the number of BDs and CCEs per slot should both be enhanced when a UE requires both eMBB and URLLC services.</w:t>
      </w:r>
      <w:bookmarkEnd w:id="2"/>
      <w:r w:rsidRPr="00AF1AF3">
        <w:rPr>
          <w:rFonts w:eastAsiaTheme="minorEastAsia"/>
          <w:sz w:val="22"/>
          <w:lang w:eastAsia="zh-TW"/>
        </w:rPr>
        <w:t xml:space="preserve">  </w:t>
      </w:r>
    </w:p>
    <w:bookmarkEnd w:id="3"/>
    <w:p w14:paraId="2B02F684" w14:textId="167F92CF" w:rsidR="001E10F3" w:rsidRPr="00AF1AF3" w:rsidRDefault="001E10F3" w:rsidP="001E10F3">
      <w:pPr>
        <w:pStyle w:val="B1"/>
        <w:ind w:left="0" w:firstLine="0"/>
        <w:jc w:val="both"/>
        <w:rPr>
          <w:szCs w:val="20"/>
        </w:rPr>
      </w:pPr>
      <w:r w:rsidRPr="00AF1AF3">
        <w:rPr>
          <w:szCs w:val="20"/>
        </w:rPr>
        <w:lastRenderedPageBreak/>
        <w:t xml:space="preserve">Since multiple PDCCH monitoring occasions within a slot can be configured for Case 2, </w:t>
      </w:r>
      <w:r w:rsidRPr="00AF1AF3">
        <w:rPr>
          <w:szCs w:val="20"/>
          <w:lang w:val="en-US"/>
        </w:rPr>
        <w:t>imposing</w:t>
      </w:r>
      <w:r w:rsidRPr="00AF1AF3">
        <w:rPr>
          <w:szCs w:val="20"/>
        </w:rPr>
        <w:t xml:space="preserve"> the limit </w:t>
      </w:r>
      <w:r w:rsidRPr="00AF1AF3">
        <w:rPr>
          <w:szCs w:val="20"/>
          <w:lang w:val="en-US"/>
        </w:rPr>
        <w:t>on the number of</w:t>
      </w:r>
      <w:r w:rsidRPr="00AF1AF3">
        <w:rPr>
          <w:szCs w:val="20"/>
        </w:rPr>
        <w:t xml:space="preserve"> BDs/CCEs in the unit of slot may not appropriately reflect the exact distribution of PDCCH monitoring. For example, while considering scheduling of both eMBB and URLLC for a UE, this may lead to asymmetric distribution of PDCCH monitoring</w:t>
      </w:r>
      <w:r w:rsidRPr="00AF1AF3">
        <w:rPr>
          <w:szCs w:val="20"/>
          <w:lang w:val="en-US"/>
        </w:rPr>
        <w:t xml:space="preserve"> occasions</w:t>
      </w:r>
      <w:r w:rsidRPr="00AF1AF3">
        <w:rPr>
          <w:szCs w:val="20"/>
        </w:rPr>
        <w:t xml:space="preserve"> within a slot. Thus, the maximum number of BDs/CCEs shall be defined on per sub-slot or per monitoring occasion</w:t>
      </w:r>
      <w:r w:rsidRPr="00AF1AF3">
        <w:rPr>
          <w:szCs w:val="20"/>
          <w:lang w:val="en-US"/>
        </w:rPr>
        <w:t xml:space="preserve"> basis</w:t>
      </w:r>
      <w:r w:rsidRPr="00AF1AF3">
        <w:rPr>
          <w:szCs w:val="20"/>
        </w:rPr>
        <w:t>.</w:t>
      </w:r>
    </w:p>
    <w:p w14:paraId="2BB7F1C8" w14:textId="77777777" w:rsidR="001E10F3" w:rsidRPr="00AF1AF3" w:rsidRDefault="001E10F3" w:rsidP="001E10F3">
      <w:pPr>
        <w:pStyle w:val="B1"/>
        <w:ind w:left="0" w:firstLine="0"/>
        <w:jc w:val="center"/>
        <w:rPr>
          <w:szCs w:val="20"/>
        </w:rPr>
      </w:pPr>
      <w:r w:rsidRPr="00AF1AF3">
        <w:rPr>
          <w:noProof/>
          <w:szCs w:val="20"/>
        </w:rPr>
        <w:drawing>
          <wp:inline distT="0" distB="0" distL="0" distR="0" wp14:anchorId="54CC8A96" wp14:editId="45ED6FBD">
            <wp:extent cx="3841750" cy="559195"/>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8">
                      <a:extLst>
                        <a:ext uri="{28A0092B-C50C-407E-A947-70E740481C1C}">
                          <a14:useLocalDpi xmlns:a14="http://schemas.microsoft.com/office/drawing/2010/main" val="0"/>
                        </a:ext>
                      </a:extLst>
                    </a:blip>
                    <a:stretch>
                      <a:fillRect/>
                    </a:stretch>
                  </pic:blipFill>
                  <pic:spPr>
                    <a:xfrm>
                      <a:off x="0" y="0"/>
                      <a:ext cx="3910404" cy="569188"/>
                    </a:xfrm>
                    <a:prstGeom prst="rect">
                      <a:avLst/>
                    </a:prstGeom>
                  </pic:spPr>
                </pic:pic>
              </a:graphicData>
            </a:graphic>
          </wp:inline>
        </w:drawing>
      </w:r>
    </w:p>
    <w:p w14:paraId="4AC3589A" w14:textId="77777777" w:rsidR="001E10F3" w:rsidRPr="00AF1AF3" w:rsidRDefault="001E10F3" w:rsidP="001E10F3">
      <w:pPr>
        <w:pStyle w:val="B1"/>
        <w:jc w:val="center"/>
        <w:rPr>
          <w:szCs w:val="20"/>
          <w:lang w:eastAsia="zh-TW"/>
        </w:rPr>
      </w:pPr>
      <w:r w:rsidRPr="00AF1AF3">
        <w:rPr>
          <w:szCs w:val="20"/>
          <w:lang w:eastAsia="zh-TW"/>
        </w:rPr>
        <w:t>Figure 1. Asymmetric distribution of PDCCH monitoring within a slot</w:t>
      </w:r>
    </w:p>
    <w:p w14:paraId="432AE8B5" w14:textId="4BDA94DE" w:rsidR="001E10F3" w:rsidRPr="00AF1AF3" w:rsidRDefault="001E10F3" w:rsidP="00AF1AF3">
      <w:pPr>
        <w:pStyle w:val="Proposal"/>
        <w:numPr>
          <w:ilvl w:val="0"/>
          <w:numId w:val="2"/>
        </w:numPr>
        <w:tabs>
          <w:tab w:val="clear" w:pos="1304"/>
        </w:tabs>
        <w:ind w:left="1710" w:hanging="1710"/>
        <w:rPr>
          <w:rFonts w:eastAsiaTheme="minorEastAsia"/>
          <w:sz w:val="22"/>
          <w:lang w:eastAsia="zh-TW"/>
        </w:rPr>
      </w:pPr>
      <w:bookmarkStart w:id="4" w:name="_Toc1054046"/>
      <w:bookmarkStart w:id="5" w:name="_Hlk861261"/>
      <w:r w:rsidRPr="00AF1AF3">
        <w:rPr>
          <w:rFonts w:eastAsiaTheme="minorEastAsia"/>
          <w:sz w:val="22"/>
          <w:lang w:eastAsia="zh-TW"/>
        </w:rPr>
        <w:t>The maximum number of BDs/CCEs shall be defined in the unit of sub-slot or monitoring occasion for Rel-16 UE.</w:t>
      </w:r>
      <w:bookmarkEnd w:id="4"/>
      <w:r w:rsidRPr="00AF1AF3">
        <w:rPr>
          <w:rFonts w:eastAsiaTheme="minorEastAsia"/>
          <w:sz w:val="22"/>
          <w:lang w:eastAsia="zh-TW"/>
        </w:rPr>
        <w:t xml:space="preserve"> </w:t>
      </w:r>
    </w:p>
    <w:bookmarkEnd w:id="5"/>
    <w:p w14:paraId="602E3CA5" w14:textId="77777777" w:rsidR="001E10F3" w:rsidRDefault="001E10F3" w:rsidP="001E10F3">
      <w:pPr>
        <w:pStyle w:val="Heading2"/>
        <w:numPr>
          <w:ilvl w:val="1"/>
          <w:numId w:val="4"/>
        </w:numPr>
        <w:rPr>
          <w:lang w:eastAsia="zh-TW"/>
        </w:rPr>
      </w:pPr>
      <w:r>
        <w:rPr>
          <w:lang w:eastAsia="zh-TW"/>
        </w:rPr>
        <w:t xml:space="preserve">UE capability for the enhanced PDCCH monitoring capability </w:t>
      </w:r>
    </w:p>
    <w:p w14:paraId="68D97E6D" w14:textId="77777777" w:rsidR="001E10F3" w:rsidRPr="00AF1AF3" w:rsidRDefault="001E10F3" w:rsidP="00AF1AF3">
      <w:pPr>
        <w:pStyle w:val="B1"/>
        <w:ind w:left="0" w:firstLine="0"/>
        <w:jc w:val="both"/>
      </w:pPr>
      <w:r w:rsidRPr="00AF1AF3">
        <w:t>Due to different limit of the number of BDs/CCEs for supporting different services</w:t>
      </w:r>
      <w:r w:rsidRPr="00AF1AF3">
        <w:rPr>
          <w:lang w:eastAsia="zh-TW"/>
        </w:rPr>
        <w:t xml:space="preserve"> </w:t>
      </w:r>
      <w:r w:rsidRPr="00AF1AF3">
        <w:t xml:space="preserve">in each slot, more than one PDCCH configuration can be adaptively configured corresponding to different UE traffic. More specifically, we suggest each configuration can be configured with different monitoring occasion, </w:t>
      </w:r>
      <w:r w:rsidRPr="00AF1AF3">
        <w:rPr>
          <w:lang w:val="en-US"/>
        </w:rPr>
        <w:t>different</w:t>
      </w:r>
      <w:r w:rsidRPr="00AF1AF3">
        <w:t xml:space="preserve"> maximum number of BDs/CCEs, and </w:t>
      </w:r>
      <w:r w:rsidRPr="00AF1AF3">
        <w:rPr>
          <w:lang w:val="en-US"/>
        </w:rPr>
        <w:t xml:space="preserve">different </w:t>
      </w:r>
      <w:r w:rsidRPr="00AF1AF3">
        <w:t>monitored DCI formats</w:t>
      </w:r>
      <w:r w:rsidRPr="00AF1AF3">
        <w:rPr>
          <w:lang w:eastAsia="zh-TW"/>
        </w:rPr>
        <w:t>. Also, it could be further studied</w:t>
      </w:r>
      <w:r w:rsidRPr="00AF1AF3">
        <w:rPr>
          <w:lang w:val="en-US" w:eastAsia="zh-TW"/>
        </w:rPr>
        <w:t xml:space="preserve"> to use</w:t>
      </w:r>
      <w:r w:rsidRPr="00AF1AF3">
        <w:rPr>
          <w:lang w:eastAsia="zh-TW"/>
        </w:rPr>
        <w:t xml:space="preserve"> either explicit or implicit signaling to support the activation/deactivation among multiple PDCCH configurations</w:t>
      </w:r>
      <w:r w:rsidRPr="00AF1AF3">
        <w:t xml:space="preserve">. With multiple PDCCH configurations and activation/de-activation mechanism, it not only can configure PDCCH monitoring in a more flexible way but can also </w:t>
      </w:r>
      <w:bookmarkStart w:id="6" w:name="_Hlk1037241"/>
      <w:r w:rsidRPr="00AF1AF3">
        <w:t>provide more flexibility to compromise between power consumption and UE complexity due to increased number of BDs/CCEs.</w:t>
      </w:r>
      <w:bookmarkEnd w:id="6"/>
    </w:p>
    <w:p w14:paraId="7AD3F86E" w14:textId="050F047F" w:rsidR="001E10F3" w:rsidRPr="00AF1AF3" w:rsidRDefault="001E10F3" w:rsidP="00AF1AF3">
      <w:pPr>
        <w:pStyle w:val="Proposal"/>
        <w:rPr>
          <w:rFonts w:eastAsiaTheme="minorEastAsia"/>
          <w:lang w:eastAsia="zh-TW"/>
        </w:rPr>
      </w:pPr>
      <w:bookmarkStart w:id="7" w:name="_Toc1054047"/>
      <w:r w:rsidRPr="00AF1AF3">
        <w:rPr>
          <w:rFonts w:eastAsiaTheme="minorEastAsia"/>
          <w:lang w:eastAsia="zh-TW"/>
        </w:rPr>
        <w:t>A UE can be configured with more than one PDCCH monitoring configurations.</w:t>
      </w:r>
      <w:bookmarkEnd w:id="7"/>
    </w:p>
    <w:p w14:paraId="30EE9630" w14:textId="77777777" w:rsidR="001E10F3" w:rsidRDefault="001E10F3" w:rsidP="001E10F3">
      <w:pPr>
        <w:pStyle w:val="Heading1"/>
        <w:numPr>
          <w:ilvl w:val="0"/>
          <w:numId w:val="4"/>
        </w:numPr>
        <w:rPr>
          <w:rFonts w:eastAsiaTheme="minorEastAsia"/>
          <w:lang w:eastAsia="zh-TW"/>
        </w:rPr>
      </w:pPr>
      <w:r>
        <w:rPr>
          <w:rFonts w:eastAsiaTheme="minorEastAsia" w:hint="eastAsia"/>
          <w:lang w:eastAsia="zh-TW"/>
        </w:rPr>
        <w:t>C</w:t>
      </w:r>
      <w:r>
        <w:rPr>
          <w:rFonts w:eastAsiaTheme="minorEastAsia"/>
          <w:lang w:eastAsia="zh-TW"/>
        </w:rPr>
        <w:t>onclusions</w:t>
      </w:r>
    </w:p>
    <w:p w14:paraId="4C047D96" w14:textId="11031633" w:rsidR="001E10F3" w:rsidRDefault="001E10F3" w:rsidP="001E10F3">
      <w:pPr>
        <w:rPr>
          <w:sz w:val="22"/>
          <w:szCs w:val="22"/>
          <w:lang w:eastAsia="zh-TW"/>
        </w:rPr>
      </w:pPr>
      <w:r w:rsidRPr="00AF1AF3">
        <w:rPr>
          <w:sz w:val="22"/>
          <w:szCs w:val="22"/>
          <w:lang w:eastAsia="zh-TW"/>
        </w:rPr>
        <w:t>In this contribution, we discussed the necessity of enhancing the limit of the number of BDs/CCEs and configuring more than one PDCCH monitoring configurations for URLLC. Based on the discussion in section 2, we have some proposals as follows:</w:t>
      </w:r>
    </w:p>
    <w:p w14:paraId="778B7182" w14:textId="207CD848" w:rsidR="00395FE5" w:rsidRDefault="00395FE5">
      <w:pPr>
        <w:pStyle w:val="TOC1"/>
        <w:rPr>
          <w:rFonts w:eastAsiaTheme="minorEastAsia" w:cstheme="minorBidi"/>
          <w:b w:val="0"/>
          <w:sz w:val="22"/>
          <w:szCs w:val="22"/>
          <w:lang w:eastAsia="zh-TW"/>
        </w:rPr>
      </w:pPr>
      <w:r>
        <w:rPr>
          <w:sz w:val="22"/>
          <w:szCs w:val="22"/>
          <w:lang w:eastAsia="zh-TW"/>
        </w:rPr>
        <w:fldChar w:fldCharType="begin"/>
      </w:r>
      <w:r>
        <w:rPr>
          <w:sz w:val="22"/>
          <w:szCs w:val="22"/>
          <w:lang w:eastAsia="zh-TW"/>
        </w:rPr>
        <w:instrText xml:space="preserve"> TOC \f \n \p " " \h \z \t "Proposal,1" </w:instrText>
      </w:r>
      <w:r>
        <w:rPr>
          <w:sz w:val="22"/>
          <w:szCs w:val="22"/>
          <w:lang w:eastAsia="zh-TW"/>
        </w:rPr>
        <w:fldChar w:fldCharType="separate"/>
      </w:r>
      <w:hyperlink w:anchor="_Toc1054044" w:history="1">
        <w:r w:rsidRPr="00037499">
          <w:rPr>
            <w:rStyle w:val="Hyperlink"/>
            <w:lang w:eastAsia="zh-TW"/>
          </w:rPr>
          <w:t>Proposal 1</w:t>
        </w:r>
        <w:r>
          <w:rPr>
            <w:rFonts w:eastAsiaTheme="minorEastAsia" w:cstheme="minorBidi"/>
            <w:b w:val="0"/>
            <w:sz w:val="22"/>
            <w:szCs w:val="22"/>
            <w:lang w:eastAsia="zh-TW"/>
          </w:rPr>
          <w:tab/>
        </w:r>
        <w:r w:rsidRPr="00037499">
          <w:rPr>
            <w:rStyle w:val="Hyperlink"/>
            <w:lang w:eastAsia="zh-TW"/>
          </w:rPr>
          <w:t>The maximum number of PDCCH monitoring occasions needed for URLLC per slot is 7 for 15kHz and 30kHz SCS.</w:t>
        </w:r>
      </w:hyperlink>
    </w:p>
    <w:p w14:paraId="3B8E8C8D" w14:textId="4545F330" w:rsidR="00395FE5" w:rsidRDefault="00D67A6E">
      <w:pPr>
        <w:pStyle w:val="TOC1"/>
        <w:rPr>
          <w:rFonts w:eastAsiaTheme="minorEastAsia" w:cstheme="minorBidi"/>
          <w:b w:val="0"/>
          <w:sz w:val="22"/>
          <w:szCs w:val="22"/>
          <w:lang w:eastAsia="zh-TW"/>
        </w:rPr>
      </w:pPr>
      <w:hyperlink w:anchor="_Toc1054045" w:history="1">
        <w:r w:rsidR="00395FE5" w:rsidRPr="00037499">
          <w:rPr>
            <w:rStyle w:val="Hyperlink"/>
            <w:lang w:eastAsia="zh-TW"/>
          </w:rPr>
          <w:t>Proposal 2</w:t>
        </w:r>
        <w:r w:rsidR="00395FE5">
          <w:rPr>
            <w:rFonts w:eastAsiaTheme="minorEastAsia" w:cstheme="minorBidi"/>
            <w:b w:val="0"/>
            <w:sz w:val="22"/>
            <w:szCs w:val="22"/>
            <w:lang w:eastAsia="zh-TW"/>
          </w:rPr>
          <w:tab/>
        </w:r>
        <w:r w:rsidR="00395FE5" w:rsidRPr="00037499">
          <w:rPr>
            <w:rStyle w:val="Hyperlink"/>
            <w:lang w:eastAsia="zh-TW"/>
          </w:rPr>
          <w:t>The limit of the number of BDs and CCEs per slot should both be enhanced when a UE requires both eMBB and URLLC services.</w:t>
        </w:r>
      </w:hyperlink>
    </w:p>
    <w:p w14:paraId="66B2CEAB" w14:textId="3EC1D192" w:rsidR="00395FE5" w:rsidRDefault="00D67A6E">
      <w:pPr>
        <w:pStyle w:val="TOC1"/>
        <w:rPr>
          <w:rFonts w:eastAsiaTheme="minorEastAsia" w:cstheme="minorBidi"/>
          <w:b w:val="0"/>
          <w:sz w:val="22"/>
          <w:szCs w:val="22"/>
          <w:lang w:eastAsia="zh-TW"/>
        </w:rPr>
      </w:pPr>
      <w:hyperlink w:anchor="_Toc1054046" w:history="1">
        <w:r w:rsidR="00395FE5" w:rsidRPr="00037499">
          <w:rPr>
            <w:rStyle w:val="Hyperlink"/>
            <w:lang w:eastAsia="zh-TW"/>
          </w:rPr>
          <w:t>Proposal 3</w:t>
        </w:r>
        <w:r w:rsidR="00395FE5">
          <w:rPr>
            <w:rFonts w:eastAsiaTheme="minorEastAsia" w:cstheme="minorBidi"/>
            <w:b w:val="0"/>
            <w:sz w:val="22"/>
            <w:szCs w:val="22"/>
            <w:lang w:eastAsia="zh-TW"/>
          </w:rPr>
          <w:tab/>
        </w:r>
        <w:r w:rsidR="00395FE5" w:rsidRPr="00037499">
          <w:rPr>
            <w:rStyle w:val="Hyperlink"/>
            <w:lang w:eastAsia="zh-TW"/>
          </w:rPr>
          <w:t>The maximum number of BDs/CCEs shall be defined in the unit of sub-slot or monitoring occasion for Rel-16 UE.</w:t>
        </w:r>
      </w:hyperlink>
    </w:p>
    <w:p w14:paraId="74AF60F7" w14:textId="6B0A7299" w:rsidR="00395FE5" w:rsidRDefault="00D67A6E">
      <w:pPr>
        <w:pStyle w:val="TOC1"/>
        <w:rPr>
          <w:rFonts w:eastAsiaTheme="minorEastAsia" w:cstheme="minorBidi"/>
          <w:b w:val="0"/>
          <w:sz w:val="22"/>
          <w:szCs w:val="22"/>
          <w:lang w:eastAsia="zh-TW"/>
        </w:rPr>
      </w:pPr>
      <w:hyperlink w:anchor="_Toc1054047" w:history="1">
        <w:r w:rsidR="00395FE5" w:rsidRPr="00037499">
          <w:rPr>
            <w:rStyle w:val="Hyperlink"/>
            <w:lang w:eastAsia="zh-TW"/>
          </w:rPr>
          <w:t>Proposal 4</w:t>
        </w:r>
        <w:r w:rsidR="00395FE5">
          <w:rPr>
            <w:rFonts w:eastAsiaTheme="minorEastAsia" w:cstheme="minorBidi"/>
            <w:b w:val="0"/>
            <w:sz w:val="22"/>
            <w:szCs w:val="22"/>
            <w:lang w:eastAsia="zh-TW"/>
          </w:rPr>
          <w:tab/>
        </w:r>
        <w:r w:rsidR="00395FE5" w:rsidRPr="00037499">
          <w:rPr>
            <w:rStyle w:val="Hyperlink"/>
            <w:lang w:eastAsia="zh-TW"/>
          </w:rPr>
          <w:t>A UE can be configured with more than one PDCCH monitoring configurations.</w:t>
        </w:r>
      </w:hyperlink>
    </w:p>
    <w:p w14:paraId="49506A55" w14:textId="0ADB4402" w:rsidR="001E10F3" w:rsidRDefault="00395FE5" w:rsidP="00AF1AF3">
      <w:pPr>
        <w:pStyle w:val="Heading1"/>
        <w:rPr>
          <w:rFonts w:eastAsiaTheme="minorEastAsia"/>
          <w:lang w:eastAsia="zh-TW"/>
        </w:rPr>
      </w:pPr>
      <w:r>
        <w:rPr>
          <w:sz w:val="22"/>
          <w:szCs w:val="22"/>
          <w:lang w:eastAsia="zh-TW"/>
        </w:rPr>
        <w:fldChar w:fldCharType="end"/>
      </w:r>
      <w:r w:rsidR="001E10F3">
        <w:rPr>
          <w:rFonts w:eastAsiaTheme="minorEastAsia" w:hint="eastAsia"/>
          <w:lang w:eastAsia="zh-TW"/>
        </w:rPr>
        <w:t>R</w:t>
      </w:r>
      <w:r w:rsidR="001E10F3">
        <w:rPr>
          <w:rFonts w:eastAsiaTheme="minorEastAsia"/>
          <w:lang w:eastAsia="zh-TW"/>
        </w:rPr>
        <w:t>eferences</w:t>
      </w:r>
    </w:p>
    <w:p w14:paraId="77D2A239" w14:textId="77777777" w:rsidR="001E10F3" w:rsidRDefault="001E10F3" w:rsidP="001E10F3">
      <w:pPr>
        <w:pStyle w:val="Reference"/>
        <w:rPr>
          <w:rFonts w:eastAsiaTheme="minorEastAsia"/>
          <w:lang w:eastAsia="zh-TW"/>
        </w:rPr>
      </w:pPr>
      <w:r>
        <w:rPr>
          <w:rFonts w:eastAsiaTheme="minorEastAsia"/>
          <w:lang w:eastAsia="zh-TW"/>
        </w:rPr>
        <w:t>Chairman’s Notes, 3GPP RAN1 AH#1901</w:t>
      </w:r>
    </w:p>
    <w:p w14:paraId="41A4B8F8" w14:textId="073E3061" w:rsidR="001E10F3" w:rsidRPr="00AF1AF3" w:rsidRDefault="001E10F3" w:rsidP="00AF1AF3">
      <w:pPr>
        <w:pStyle w:val="Reference"/>
        <w:rPr>
          <w:lang w:eastAsia="zh-TW"/>
        </w:rPr>
      </w:pPr>
      <w:r>
        <w:rPr>
          <w:lang w:eastAsia="zh-TW"/>
        </w:rPr>
        <w:t xml:space="preserve">R1-1901459, </w:t>
      </w:r>
      <w:r w:rsidRPr="00315C94">
        <w:t>Summary of 7.2.6.1.1 Potential enhancements to PDCCH</w:t>
      </w:r>
      <w:r>
        <w:t>, Huawei</w:t>
      </w:r>
    </w:p>
    <w:p w14:paraId="226A6BBF" w14:textId="3714C217" w:rsidR="008A2480" w:rsidRPr="00FA106B" w:rsidRDefault="008A2480" w:rsidP="00AF1AF3">
      <w:pPr>
        <w:pStyle w:val="Reference"/>
        <w:numPr>
          <w:ilvl w:val="0"/>
          <w:numId w:val="0"/>
        </w:numPr>
      </w:pPr>
    </w:p>
    <w:sectPr w:rsidR="008A2480" w:rsidRPr="00FA106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0F656" w14:textId="77777777" w:rsidR="00D67A6E" w:rsidRDefault="00D67A6E" w:rsidP="0063297B">
      <w:pPr>
        <w:spacing w:after="0"/>
      </w:pPr>
      <w:r>
        <w:separator/>
      </w:r>
    </w:p>
  </w:endnote>
  <w:endnote w:type="continuationSeparator" w:id="0">
    <w:p w14:paraId="3FFE881D" w14:textId="77777777" w:rsidR="00D67A6E" w:rsidRDefault="00D67A6E"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644D1" w14:textId="77777777" w:rsidR="00D67A6E" w:rsidRDefault="00D67A6E" w:rsidP="0063297B">
      <w:pPr>
        <w:spacing w:after="0"/>
      </w:pPr>
      <w:r>
        <w:separator/>
      </w:r>
    </w:p>
  </w:footnote>
  <w:footnote w:type="continuationSeparator" w:id="0">
    <w:p w14:paraId="38578AE5" w14:textId="77777777" w:rsidR="00D67A6E" w:rsidRDefault="00D67A6E"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77DC"/>
    <w:multiLevelType w:val="hybridMultilevel"/>
    <w:tmpl w:val="83D27F84"/>
    <w:lvl w:ilvl="0" w:tplc="14205668">
      <w:numFmt w:val="bullet"/>
      <w:lvlText w:val="•"/>
      <w:lvlJc w:val="left"/>
      <w:pPr>
        <w:ind w:left="1080" w:hanging="72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33764B"/>
    <w:multiLevelType w:val="hybridMultilevel"/>
    <w:tmpl w:val="E2465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032B1"/>
    <w:multiLevelType w:val="hybridMultilevel"/>
    <w:tmpl w:val="F7C83934"/>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556C03"/>
    <w:multiLevelType w:val="hybridMultilevel"/>
    <w:tmpl w:val="EE76BD00"/>
    <w:lvl w:ilvl="0" w:tplc="418CF6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376EED"/>
    <w:multiLevelType w:val="hybridMultilevel"/>
    <w:tmpl w:val="7EE2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A24C6D"/>
    <w:multiLevelType w:val="hybridMultilevel"/>
    <w:tmpl w:val="750E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81D39"/>
    <w:multiLevelType w:val="hybridMultilevel"/>
    <w:tmpl w:val="9630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7640D0"/>
    <w:multiLevelType w:val="hybridMultilevel"/>
    <w:tmpl w:val="774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BC4F39"/>
    <w:multiLevelType w:val="hybridMultilevel"/>
    <w:tmpl w:val="03B0B58C"/>
    <w:lvl w:ilvl="0" w:tplc="04090001">
      <w:start w:val="1"/>
      <w:numFmt w:val="bullet"/>
      <w:lvlText w:val=""/>
      <w:lvlJc w:val="left"/>
      <w:pPr>
        <w:tabs>
          <w:tab w:val="num" w:pos="2024"/>
        </w:tabs>
        <w:ind w:left="2024" w:hanging="1304"/>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5101505E"/>
    <w:multiLevelType w:val="hybridMultilevel"/>
    <w:tmpl w:val="6182331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620255"/>
    <w:multiLevelType w:val="hybridMultilevel"/>
    <w:tmpl w:val="3A90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81C84"/>
    <w:multiLevelType w:val="hybridMultilevel"/>
    <w:tmpl w:val="5F0E22F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5D332CCE"/>
    <w:multiLevelType w:val="hybridMultilevel"/>
    <w:tmpl w:val="06CE8F96"/>
    <w:lvl w:ilvl="0" w:tplc="EC10E72C">
      <w:start w:val="1"/>
      <w:numFmt w:val="bullet"/>
      <w:lvlText w:val="—"/>
      <w:lvlJc w:val="left"/>
      <w:pPr>
        <w:tabs>
          <w:tab w:val="num" w:pos="360"/>
        </w:tabs>
        <w:ind w:left="360" w:hanging="360"/>
      </w:pPr>
      <w:rPr>
        <w:rFonts w:ascii="Ericsson Hilda Light" w:hAnsi="Ericsson Hilda Light" w:hint="default"/>
      </w:rPr>
    </w:lvl>
    <w:lvl w:ilvl="1" w:tplc="43C2B5FE">
      <w:start w:val="67"/>
      <w:numFmt w:val="bullet"/>
      <w:lvlText w:val="—"/>
      <w:lvlJc w:val="left"/>
      <w:pPr>
        <w:tabs>
          <w:tab w:val="num" w:pos="1080"/>
        </w:tabs>
        <w:ind w:left="1080" w:hanging="360"/>
      </w:pPr>
      <w:rPr>
        <w:rFonts w:ascii="Ericsson Hilda Light" w:hAnsi="Ericsson Hilda Light" w:hint="default"/>
      </w:rPr>
    </w:lvl>
    <w:lvl w:ilvl="2" w:tplc="62D27C2E">
      <w:start w:val="67"/>
      <w:numFmt w:val="bullet"/>
      <w:lvlText w:val="—"/>
      <w:lvlJc w:val="left"/>
      <w:pPr>
        <w:tabs>
          <w:tab w:val="num" w:pos="1800"/>
        </w:tabs>
        <w:ind w:left="1800" w:hanging="360"/>
      </w:pPr>
      <w:rPr>
        <w:rFonts w:ascii="Ericsson Hilda Light" w:hAnsi="Ericsson Hilda Light" w:hint="default"/>
      </w:rPr>
    </w:lvl>
    <w:lvl w:ilvl="3" w:tplc="8A5A47EC" w:tentative="1">
      <w:start w:val="1"/>
      <w:numFmt w:val="bullet"/>
      <w:lvlText w:val="—"/>
      <w:lvlJc w:val="left"/>
      <w:pPr>
        <w:tabs>
          <w:tab w:val="num" w:pos="2520"/>
        </w:tabs>
        <w:ind w:left="2520" w:hanging="360"/>
      </w:pPr>
      <w:rPr>
        <w:rFonts w:ascii="Ericsson Hilda Light" w:hAnsi="Ericsson Hilda Light" w:hint="default"/>
      </w:rPr>
    </w:lvl>
    <w:lvl w:ilvl="4" w:tplc="848EBE32" w:tentative="1">
      <w:start w:val="1"/>
      <w:numFmt w:val="bullet"/>
      <w:lvlText w:val="—"/>
      <w:lvlJc w:val="left"/>
      <w:pPr>
        <w:tabs>
          <w:tab w:val="num" w:pos="3240"/>
        </w:tabs>
        <w:ind w:left="3240" w:hanging="360"/>
      </w:pPr>
      <w:rPr>
        <w:rFonts w:ascii="Ericsson Hilda Light" w:hAnsi="Ericsson Hilda Light" w:hint="default"/>
      </w:rPr>
    </w:lvl>
    <w:lvl w:ilvl="5" w:tplc="002E4A38" w:tentative="1">
      <w:start w:val="1"/>
      <w:numFmt w:val="bullet"/>
      <w:lvlText w:val="—"/>
      <w:lvlJc w:val="left"/>
      <w:pPr>
        <w:tabs>
          <w:tab w:val="num" w:pos="3960"/>
        </w:tabs>
        <w:ind w:left="3960" w:hanging="360"/>
      </w:pPr>
      <w:rPr>
        <w:rFonts w:ascii="Ericsson Hilda Light" w:hAnsi="Ericsson Hilda Light" w:hint="default"/>
      </w:rPr>
    </w:lvl>
    <w:lvl w:ilvl="6" w:tplc="A1FA978A" w:tentative="1">
      <w:start w:val="1"/>
      <w:numFmt w:val="bullet"/>
      <w:lvlText w:val="—"/>
      <w:lvlJc w:val="left"/>
      <w:pPr>
        <w:tabs>
          <w:tab w:val="num" w:pos="4680"/>
        </w:tabs>
        <w:ind w:left="4680" w:hanging="360"/>
      </w:pPr>
      <w:rPr>
        <w:rFonts w:ascii="Ericsson Hilda Light" w:hAnsi="Ericsson Hilda Light" w:hint="default"/>
      </w:rPr>
    </w:lvl>
    <w:lvl w:ilvl="7" w:tplc="16FABA2A" w:tentative="1">
      <w:start w:val="1"/>
      <w:numFmt w:val="bullet"/>
      <w:lvlText w:val="—"/>
      <w:lvlJc w:val="left"/>
      <w:pPr>
        <w:tabs>
          <w:tab w:val="num" w:pos="5400"/>
        </w:tabs>
        <w:ind w:left="5400" w:hanging="360"/>
      </w:pPr>
      <w:rPr>
        <w:rFonts w:ascii="Ericsson Hilda Light" w:hAnsi="Ericsson Hilda Light" w:hint="default"/>
      </w:rPr>
    </w:lvl>
    <w:lvl w:ilvl="8" w:tplc="729AF1AE" w:tentative="1">
      <w:start w:val="1"/>
      <w:numFmt w:val="bullet"/>
      <w:lvlText w:val="—"/>
      <w:lvlJc w:val="left"/>
      <w:pPr>
        <w:tabs>
          <w:tab w:val="num" w:pos="6120"/>
        </w:tabs>
        <w:ind w:left="6120" w:hanging="360"/>
      </w:pPr>
      <w:rPr>
        <w:rFonts w:ascii="Ericsson Hilda Light" w:hAnsi="Ericsson Hilda Light" w:hint="default"/>
      </w:rPr>
    </w:lvl>
  </w:abstractNum>
  <w:abstractNum w:abstractNumId="21" w15:restartNumberingAfterBreak="0">
    <w:nsid w:val="60655416"/>
    <w:multiLevelType w:val="hybridMultilevel"/>
    <w:tmpl w:val="EB328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56EA8"/>
    <w:multiLevelType w:val="hybridMultilevel"/>
    <w:tmpl w:val="C9B23A6C"/>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4" w15:restartNumberingAfterBreak="0">
    <w:nsid w:val="74C4619B"/>
    <w:multiLevelType w:val="hybridMultilevel"/>
    <w:tmpl w:val="AB9896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D26906"/>
    <w:multiLevelType w:val="hybridMultilevel"/>
    <w:tmpl w:val="92EC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74C72"/>
    <w:multiLevelType w:val="hybridMultilevel"/>
    <w:tmpl w:val="F5FE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7"/>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6"/>
  </w:num>
  <w:num w:numId="14">
    <w:abstractNumId w:val="12"/>
  </w:num>
  <w:num w:numId="15">
    <w:abstractNumId w:val="17"/>
  </w:num>
  <w:num w:numId="16">
    <w:abstractNumId w:val="28"/>
  </w:num>
  <w:num w:numId="17">
    <w:abstractNumId w:val="4"/>
  </w:num>
  <w:num w:numId="18">
    <w:abstractNumId w:val="10"/>
  </w:num>
  <w:num w:numId="19">
    <w:abstractNumId w:val="27"/>
  </w:num>
  <w:num w:numId="20">
    <w:abstractNumId w:val="8"/>
  </w:num>
  <w:num w:numId="21">
    <w:abstractNumId w:val="15"/>
  </w:num>
  <w:num w:numId="22">
    <w:abstractNumId w:val="22"/>
  </w:num>
  <w:num w:numId="23">
    <w:abstractNumId w:val="20"/>
  </w:num>
  <w:num w:numId="24">
    <w:abstractNumId w:val="21"/>
  </w:num>
  <w:num w:numId="25">
    <w:abstractNumId w:val="19"/>
  </w:num>
  <w:num w:numId="26">
    <w:abstractNumId w:val="26"/>
  </w:num>
  <w:num w:numId="27">
    <w:abstractNumId w:val="7"/>
  </w:num>
  <w:num w:numId="28">
    <w:abstractNumId w:val="13"/>
  </w:num>
  <w:num w:numId="29">
    <w:abstractNumId w:val="11"/>
  </w:num>
  <w:num w:numId="30">
    <w:abstractNumId w:val="9"/>
  </w:num>
  <w:num w:numId="31">
    <w:abstractNumId w:val="2"/>
  </w:num>
  <w:num w:numId="32">
    <w:abstractNumId w:val="0"/>
  </w:num>
  <w:num w:numId="33">
    <w:abstractNumId w:val="25"/>
  </w:num>
  <w:num w:numId="34">
    <w:abstractNumId w:val="14"/>
  </w:num>
  <w:num w:numId="35">
    <w:abstractNumId w:val="3"/>
  </w:num>
  <w:num w:numId="36">
    <w:abstractNumId w:val="23"/>
  </w:num>
  <w:num w:numId="37">
    <w:abstractNumId w:val="18"/>
  </w:num>
  <w:num w:numId="38">
    <w:abstractNumId w:val="17"/>
  </w:num>
  <w:num w:numId="39">
    <w:abstractNumId w:val="21"/>
  </w:num>
  <w:num w:numId="40">
    <w:abstractNumId w:val="24"/>
  </w:num>
  <w:num w:numId="41">
    <w:abstractNumId w:val="5"/>
  </w:num>
  <w:num w:numId="42">
    <w:abstractNumId w:val="6"/>
  </w:num>
  <w:num w:numId="43">
    <w:abstractNumId w:val="12"/>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wFAE3VzHItAAAA"/>
  </w:docVars>
  <w:rsids>
    <w:rsidRoot w:val="005E1F4B"/>
    <w:rsid w:val="00004A2B"/>
    <w:rsid w:val="00004E8F"/>
    <w:rsid w:val="00040844"/>
    <w:rsid w:val="00060D85"/>
    <w:rsid w:val="000641E0"/>
    <w:rsid w:val="00090D23"/>
    <w:rsid w:val="00092147"/>
    <w:rsid w:val="000A72BB"/>
    <w:rsid w:val="000B11D8"/>
    <w:rsid w:val="000B5758"/>
    <w:rsid w:val="00100FD3"/>
    <w:rsid w:val="001032BE"/>
    <w:rsid w:val="00121950"/>
    <w:rsid w:val="001350CC"/>
    <w:rsid w:val="00140508"/>
    <w:rsid w:val="00140D47"/>
    <w:rsid w:val="00141AC6"/>
    <w:rsid w:val="00142170"/>
    <w:rsid w:val="00150043"/>
    <w:rsid w:val="001B4136"/>
    <w:rsid w:val="001B515B"/>
    <w:rsid w:val="001C04A9"/>
    <w:rsid w:val="001D0914"/>
    <w:rsid w:val="001D7D48"/>
    <w:rsid w:val="001E10F3"/>
    <w:rsid w:val="00217B35"/>
    <w:rsid w:val="002409BC"/>
    <w:rsid w:val="00251AA6"/>
    <w:rsid w:val="00266699"/>
    <w:rsid w:val="002753CB"/>
    <w:rsid w:val="00277ED8"/>
    <w:rsid w:val="0028348F"/>
    <w:rsid w:val="00283B47"/>
    <w:rsid w:val="00283DA5"/>
    <w:rsid w:val="00292A1A"/>
    <w:rsid w:val="002A1C4F"/>
    <w:rsid w:val="002D1055"/>
    <w:rsid w:val="002F4CE6"/>
    <w:rsid w:val="0031408C"/>
    <w:rsid w:val="00337856"/>
    <w:rsid w:val="00340E36"/>
    <w:rsid w:val="00357483"/>
    <w:rsid w:val="00370C44"/>
    <w:rsid w:val="003913B4"/>
    <w:rsid w:val="00395FE5"/>
    <w:rsid w:val="003A527A"/>
    <w:rsid w:val="003A666D"/>
    <w:rsid w:val="003C13D5"/>
    <w:rsid w:val="003C1C03"/>
    <w:rsid w:val="003C6E83"/>
    <w:rsid w:val="003E54CD"/>
    <w:rsid w:val="0042740D"/>
    <w:rsid w:val="00431CDC"/>
    <w:rsid w:val="004A067C"/>
    <w:rsid w:val="004C688C"/>
    <w:rsid w:val="004E115A"/>
    <w:rsid w:val="00522BF1"/>
    <w:rsid w:val="00533B6B"/>
    <w:rsid w:val="00533C06"/>
    <w:rsid w:val="005514A9"/>
    <w:rsid w:val="00575D10"/>
    <w:rsid w:val="00597063"/>
    <w:rsid w:val="005D6242"/>
    <w:rsid w:val="005E1F4B"/>
    <w:rsid w:val="005F723E"/>
    <w:rsid w:val="006226AC"/>
    <w:rsid w:val="0063297B"/>
    <w:rsid w:val="006402AA"/>
    <w:rsid w:val="006714EF"/>
    <w:rsid w:val="006832B4"/>
    <w:rsid w:val="00683624"/>
    <w:rsid w:val="006873C3"/>
    <w:rsid w:val="006A65F5"/>
    <w:rsid w:val="006A6ECE"/>
    <w:rsid w:val="006B40C4"/>
    <w:rsid w:val="006C378D"/>
    <w:rsid w:val="006C627A"/>
    <w:rsid w:val="007041E8"/>
    <w:rsid w:val="00714DA9"/>
    <w:rsid w:val="00721143"/>
    <w:rsid w:val="007213CA"/>
    <w:rsid w:val="00724BA4"/>
    <w:rsid w:val="007307A2"/>
    <w:rsid w:val="0073595F"/>
    <w:rsid w:val="00763F72"/>
    <w:rsid w:val="00765DD3"/>
    <w:rsid w:val="00771943"/>
    <w:rsid w:val="0079355F"/>
    <w:rsid w:val="007A3170"/>
    <w:rsid w:val="007A345D"/>
    <w:rsid w:val="007C0EB9"/>
    <w:rsid w:val="007C1338"/>
    <w:rsid w:val="007C5488"/>
    <w:rsid w:val="007E038D"/>
    <w:rsid w:val="007E7AC0"/>
    <w:rsid w:val="0082650D"/>
    <w:rsid w:val="00882350"/>
    <w:rsid w:val="008A2480"/>
    <w:rsid w:val="008A3669"/>
    <w:rsid w:val="008B40E1"/>
    <w:rsid w:val="008C23D2"/>
    <w:rsid w:val="008D36AE"/>
    <w:rsid w:val="008E622F"/>
    <w:rsid w:val="009326BD"/>
    <w:rsid w:val="00932935"/>
    <w:rsid w:val="00955EBD"/>
    <w:rsid w:val="00986583"/>
    <w:rsid w:val="0098759C"/>
    <w:rsid w:val="009A3179"/>
    <w:rsid w:val="009B2F97"/>
    <w:rsid w:val="009B7587"/>
    <w:rsid w:val="009D112D"/>
    <w:rsid w:val="00A04811"/>
    <w:rsid w:val="00A23275"/>
    <w:rsid w:val="00A33ACF"/>
    <w:rsid w:val="00A34A8B"/>
    <w:rsid w:val="00A558B4"/>
    <w:rsid w:val="00A96C13"/>
    <w:rsid w:val="00AB4425"/>
    <w:rsid w:val="00AD3910"/>
    <w:rsid w:val="00AE6B31"/>
    <w:rsid w:val="00AF1AF3"/>
    <w:rsid w:val="00B00345"/>
    <w:rsid w:val="00B06526"/>
    <w:rsid w:val="00B06705"/>
    <w:rsid w:val="00B227C6"/>
    <w:rsid w:val="00B238C0"/>
    <w:rsid w:val="00B446D3"/>
    <w:rsid w:val="00B7161A"/>
    <w:rsid w:val="00B77646"/>
    <w:rsid w:val="00B85C4E"/>
    <w:rsid w:val="00BA181B"/>
    <w:rsid w:val="00BC0ACC"/>
    <w:rsid w:val="00BC23CB"/>
    <w:rsid w:val="00C04FDA"/>
    <w:rsid w:val="00C12179"/>
    <w:rsid w:val="00C12B3A"/>
    <w:rsid w:val="00C14A92"/>
    <w:rsid w:val="00C218FC"/>
    <w:rsid w:val="00C37D56"/>
    <w:rsid w:val="00C92BFE"/>
    <w:rsid w:val="00CA2A35"/>
    <w:rsid w:val="00CA6D68"/>
    <w:rsid w:val="00CC278A"/>
    <w:rsid w:val="00CC6AC9"/>
    <w:rsid w:val="00CF2030"/>
    <w:rsid w:val="00CF2D92"/>
    <w:rsid w:val="00D02BEF"/>
    <w:rsid w:val="00D40635"/>
    <w:rsid w:val="00D415FF"/>
    <w:rsid w:val="00D51E0E"/>
    <w:rsid w:val="00D5268F"/>
    <w:rsid w:val="00D67A6E"/>
    <w:rsid w:val="00D74486"/>
    <w:rsid w:val="00D75E1C"/>
    <w:rsid w:val="00D850A1"/>
    <w:rsid w:val="00D9534A"/>
    <w:rsid w:val="00DB5F21"/>
    <w:rsid w:val="00DD076F"/>
    <w:rsid w:val="00E1317B"/>
    <w:rsid w:val="00E25594"/>
    <w:rsid w:val="00E40273"/>
    <w:rsid w:val="00E42568"/>
    <w:rsid w:val="00E43BA4"/>
    <w:rsid w:val="00E65ED1"/>
    <w:rsid w:val="00E6785D"/>
    <w:rsid w:val="00E84CCD"/>
    <w:rsid w:val="00E966F4"/>
    <w:rsid w:val="00E96865"/>
    <w:rsid w:val="00F05817"/>
    <w:rsid w:val="00F43C17"/>
    <w:rsid w:val="00F469EC"/>
    <w:rsid w:val="00F66954"/>
    <w:rsid w:val="00F77B6B"/>
    <w:rsid w:val="00F87104"/>
    <w:rsid w:val="00FA106B"/>
    <w:rsid w:val="00FA5BED"/>
    <w:rsid w:val="00FA791D"/>
    <w:rsid w:val="00FB591D"/>
    <w:rsid w:val="00FD5810"/>
    <w:rsid w:val="00FE63AA"/>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5E1F4B"/>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5E1F4B"/>
    <w:pPr>
      <w:numPr>
        <w:ilvl w:val="2"/>
      </w:numPr>
      <w:spacing w:before="120"/>
      <w:outlineLvl w:val="2"/>
    </w:pPr>
    <w:rPr>
      <w:sz w:val="24"/>
      <w:szCs w:val="28"/>
    </w:rPr>
  </w:style>
  <w:style w:type="paragraph" w:styleId="Heading4">
    <w:name w:val="heading 4"/>
    <w:basedOn w:val="Heading3"/>
    <w:next w:val="Normal"/>
    <w:link w:val="Heading4Char"/>
    <w:qFormat/>
    <w:rsid w:val="005E1F4B"/>
    <w:pPr>
      <w:numPr>
        <w:ilvl w:val="3"/>
      </w:numPr>
      <w:outlineLvl w:val="3"/>
    </w:pPr>
    <w:rPr>
      <w:szCs w:val="24"/>
    </w:rPr>
  </w:style>
  <w:style w:type="paragraph" w:styleId="Heading5">
    <w:name w:val="heading 5"/>
    <w:basedOn w:val="Heading4"/>
    <w:next w:val="Normal"/>
    <w:link w:val="Heading5Char"/>
    <w:qFormat/>
    <w:rsid w:val="005E1F4B"/>
    <w:pPr>
      <w:numPr>
        <w:ilvl w:val="4"/>
      </w:numPr>
      <w:outlineLvl w:val="4"/>
    </w:pPr>
    <w:rPr>
      <w:sz w:val="22"/>
      <w:szCs w:val="22"/>
    </w:rPr>
  </w:style>
  <w:style w:type="paragraph" w:styleId="Heading6">
    <w:name w:val="heading 6"/>
    <w:basedOn w:val="Normal"/>
    <w:next w:val="Normal"/>
    <w:link w:val="Heading6Char"/>
    <w:qFormat/>
    <w:rsid w:val="005E1F4B"/>
    <w:pPr>
      <w:keepNext/>
      <w:keepLines/>
      <w:numPr>
        <w:ilvl w:val="5"/>
        <w:numId w:val="12"/>
      </w:numPr>
      <w:spacing w:before="120"/>
      <w:outlineLvl w:val="5"/>
    </w:pPr>
    <w:rPr>
      <w:rFonts w:eastAsia="Times New Roman" w:cs="Arial"/>
    </w:rPr>
  </w:style>
  <w:style w:type="paragraph" w:styleId="Heading7">
    <w:name w:val="heading 7"/>
    <w:basedOn w:val="Normal"/>
    <w:next w:val="Normal"/>
    <w:link w:val="Heading7Char"/>
    <w:qFormat/>
    <w:rsid w:val="005E1F4B"/>
    <w:pPr>
      <w:keepNext/>
      <w:keepLines/>
      <w:numPr>
        <w:ilvl w:val="6"/>
        <w:numId w:val="12"/>
      </w:numPr>
      <w:spacing w:before="120"/>
      <w:outlineLvl w:val="6"/>
    </w:pPr>
    <w:rPr>
      <w:rFonts w:eastAsia="Times New Roman" w:cs="Arial"/>
    </w:rPr>
  </w:style>
  <w:style w:type="paragraph" w:styleId="Heading8">
    <w:name w:val="heading 8"/>
    <w:basedOn w:val="Heading7"/>
    <w:next w:val="Normal"/>
    <w:link w:val="Heading8Char"/>
    <w:qFormat/>
    <w:rsid w:val="005E1F4B"/>
    <w:pPr>
      <w:numPr>
        <w:ilvl w:val="7"/>
      </w:numPr>
      <w:outlineLvl w:val="7"/>
    </w:pPr>
  </w:style>
  <w:style w:type="paragraph" w:styleId="Heading9">
    <w:name w:val="heading 9"/>
    <w:basedOn w:val="Heading8"/>
    <w:next w:val="Normal"/>
    <w:link w:val="Heading9Char"/>
    <w:qFormat/>
    <w:rsid w:val="005E1F4B"/>
    <w:pPr>
      <w:numPr>
        <w:ilvl w:val="8"/>
        <w:numId w:val="1"/>
      </w:numPr>
      <w:tabs>
        <w:tab w:val="clear" w:pos="648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5E1F4B"/>
    <w:pPr>
      <w:numPr>
        <w:numId w:val="13"/>
      </w:numPr>
    </w:pPr>
    <w:rPr>
      <w:rFonts w:eastAsia="Times New Roman" w:cs="Times New Roman"/>
    </w:rPr>
  </w:style>
  <w:style w:type="paragraph" w:customStyle="1" w:styleId="Proposal">
    <w:name w:val="Proposal"/>
    <w:basedOn w:val="Normal"/>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Heading1Char">
    <w:name w:val="Heading 1 Char"/>
    <w:basedOn w:val="DefaultParagraphFont"/>
    <w:link w:val="Heading1"/>
    <w:rsid w:val="005E1F4B"/>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5E1F4B"/>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5E1F4B"/>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5E1F4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E1F4B"/>
    <w:rPr>
      <w:rFonts w:ascii="Arial" w:eastAsia="Times New Roman" w:hAnsi="Arial" w:cs="Arial"/>
      <w:lang w:val="en-GB" w:eastAsia="zh-CN"/>
    </w:rPr>
  </w:style>
  <w:style w:type="character" w:customStyle="1" w:styleId="Heading6Char">
    <w:name w:val="Heading 6 Char"/>
    <w:basedOn w:val="DefaultParagraphFont"/>
    <w:link w:val="Heading6"/>
    <w:rsid w:val="005E1F4B"/>
    <w:rPr>
      <w:rFonts w:eastAsia="Times New Roman" w:cs="Arial"/>
      <w:sz w:val="20"/>
      <w:szCs w:val="20"/>
      <w:lang w:val="en-GB" w:eastAsia="zh-CN"/>
    </w:rPr>
  </w:style>
  <w:style w:type="character" w:customStyle="1" w:styleId="Heading7Char">
    <w:name w:val="Heading 7 Char"/>
    <w:basedOn w:val="DefaultParagraphFont"/>
    <w:link w:val="Heading7"/>
    <w:rsid w:val="005E1F4B"/>
    <w:rPr>
      <w:rFonts w:eastAsia="Times New Roman" w:cs="Arial"/>
      <w:sz w:val="20"/>
      <w:szCs w:val="20"/>
      <w:lang w:val="en-GB" w:eastAsia="zh-CN"/>
    </w:rPr>
  </w:style>
  <w:style w:type="character" w:customStyle="1" w:styleId="Heading8Char">
    <w:name w:val="Heading 8 Char"/>
    <w:basedOn w:val="DefaultParagraphFont"/>
    <w:link w:val="Heading8"/>
    <w:rsid w:val="005E1F4B"/>
    <w:rPr>
      <w:rFonts w:eastAsia="Times New Roman" w:cs="Arial"/>
      <w:sz w:val="20"/>
      <w:szCs w:val="20"/>
      <w:lang w:val="en-GB" w:eastAsia="zh-CN"/>
    </w:rPr>
  </w:style>
  <w:style w:type="character" w:customStyle="1" w:styleId="Heading9Char">
    <w:name w:val="Heading 9 Char"/>
    <w:basedOn w:val="DefaultParagraphFont"/>
    <w:link w:val="Heading9"/>
    <w:rsid w:val="005E1F4B"/>
    <w:rPr>
      <w:rFonts w:eastAsia="Times New Roman" w:cs="Arial"/>
      <w:sz w:val="20"/>
      <w:szCs w:val="20"/>
      <w:lang w:val="en-GB" w:eastAsia="zh-CN"/>
    </w:rPr>
  </w:style>
  <w:style w:type="paragraph" w:styleId="Caption">
    <w:name w:val="caption"/>
    <w:basedOn w:val="Normal"/>
    <w:next w:val="Normal"/>
    <w:qFormat/>
    <w:rsid w:val="005E1F4B"/>
    <w:pPr>
      <w:spacing w:after="240"/>
      <w:jc w:val="center"/>
    </w:pPr>
    <w:rPr>
      <w:rFonts w:eastAsia="Times New Roman" w:cs="Times New Roman"/>
      <w:b/>
      <w:bCs/>
    </w:rPr>
  </w:style>
  <w:style w:type="paragraph" w:styleId="BodyText">
    <w:name w:val="Body Text"/>
    <w:basedOn w:val="Normal"/>
    <w:link w:val="BodyTextChar"/>
    <w:qFormat/>
    <w:rsid w:val="005E1F4B"/>
    <w:rPr>
      <w:rFonts w:eastAsia="Times New Roman" w:cs="Times New Roman"/>
    </w:rPr>
  </w:style>
  <w:style w:type="character" w:customStyle="1" w:styleId="BodyTextChar">
    <w:name w:val="Body Text Char"/>
    <w:basedOn w:val="DefaultParagraphFont"/>
    <w:link w:val="BodyText"/>
    <w:rsid w:val="005E1F4B"/>
    <w:rPr>
      <w:rFonts w:eastAsia="Times New Roman" w:cs="Times New Roman"/>
      <w:sz w:val="20"/>
      <w:szCs w:val="20"/>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5E1F4B"/>
    <w:rPr>
      <w:rFonts w:eastAsia="SimSun" w:cs="Times New Roma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B1">
    <w:name w:val="B1"/>
    <w:basedOn w:val="Normal"/>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TOC2">
    <w:name w:val="toc 2"/>
    <w:basedOn w:val="Normal"/>
    <w:next w:val="Normal"/>
    <w:autoRedefine/>
    <w:uiPriority w:val="39"/>
    <w:unhideWhenUsed/>
    <w:rsid w:val="00395FE5"/>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4125D-7289-4736-BD05-A3CA9C62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5</cp:revision>
  <dcterms:created xsi:type="dcterms:W3CDTF">2019-02-15T00:51:00Z</dcterms:created>
  <dcterms:modified xsi:type="dcterms:W3CDTF">2019-02-15T01:15:00Z</dcterms:modified>
</cp:coreProperties>
</file>